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0E1E" w14:textId="77777777" w:rsidR="007146C2" w:rsidRPr="007146C2" w:rsidRDefault="007146C2" w:rsidP="007146C2">
      <w:pPr>
        <w:shd w:val="clear" w:color="auto" w:fill="FFFFFF"/>
        <w:spacing w:before="100" w:beforeAutospacing="1" w:after="100" w:afterAutospacing="1" w:line="240" w:lineRule="auto"/>
        <w:outlineLvl w:val="1"/>
        <w:rPr>
          <w:rFonts w:ascii="Noto Sans" w:eastAsia="Times New Roman" w:hAnsi="Noto Sans" w:cs="Noto Sans"/>
          <w:color w:val="052648"/>
          <w:kern w:val="0"/>
          <w:sz w:val="36"/>
          <w:szCs w:val="36"/>
          <w:lang w:eastAsia="en-GB"/>
          <w14:ligatures w14:val="none"/>
        </w:rPr>
      </w:pPr>
      <w:r w:rsidRPr="007146C2">
        <w:rPr>
          <w:rFonts w:ascii="Noto Sans" w:eastAsia="Times New Roman" w:hAnsi="Noto Sans" w:cs="Noto Sans"/>
          <w:color w:val="052648"/>
          <w:kern w:val="0"/>
          <w:sz w:val="36"/>
          <w:szCs w:val="36"/>
          <w:lang w:eastAsia="en-GB"/>
          <w14:ligatures w14:val="none"/>
        </w:rPr>
        <w:t>Primary school appeals</w:t>
      </w:r>
    </w:p>
    <w:p w14:paraId="1A88489A" w14:textId="77777777" w:rsidR="007146C2" w:rsidRPr="007146C2" w:rsidRDefault="007146C2" w:rsidP="007146C2">
      <w:pPr>
        <w:shd w:val="clear" w:color="auto" w:fill="FFFFFF"/>
        <w:spacing w:before="100" w:beforeAutospacing="1" w:after="100" w:afterAutospacing="1"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Appeals resulting from transfer applications for admission to Reception for Wandsworth primary schools (or to Year 3 at Honeywell Junior School) for September 2024 will be heard according to the following timetable:</w:t>
      </w:r>
    </w:p>
    <w:tbl>
      <w:tblPr>
        <w:tblW w:w="0" w:type="auto"/>
        <w:tblBorders>
          <w:top w:val="single" w:sz="6" w:space="0" w:color="00529C"/>
          <w:left w:val="single" w:sz="6" w:space="0" w:color="00529C"/>
          <w:bottom w:val="single" w:sz="6" w:space="0" w:color="00529C"/>
          <w:right w:val="single" w:sz="6" w:space="0" w:color="00529C"/>
        </w:tblBorders>
        <w:shd w:val="clear" w:color="auto" w:fill="FFFFFF"/>
        <w:tblCellMar>
          <w:top w:w="15" w:type="dxa"/>
          <w:left w:w="15" w:type="dxa"/>
          <w:bottom w:w="15" w:type="dxa"/>
          <w:right w:w="15" w:type="dxa"/>
        </w:tblCellMar>
        <w:tblLook w:val="04A0" w:firstRow="1" w:lastRow="0" w:firstColumn="1" w:lastColumn="0" w:noHBand="0" w:noVBand="1"/>
        <w:tblDescription w:val="Primary school appeals timetable in Wandsworth"/>
      </w:tblPr>
      <w:tblGrid>
        <w:gridCol w:w="4845"/>
        <w:gridCol w:w="4181"/>
      </w:tblGrid>
      <w:tr w:rsidR="007146C2" w:rsidRPr="007146C2" w14:paraId="74DF6516" w14:textId="77777777" w:rsidTr="007146C2">
        <w:trPr>
          <w:trHeight w:val="315"/>
          <w:tblHeader/>
        </w:trPr>
        <w:tc>
          <w:tcPr>
            <w:tcW w:w="0" w:type="auto"/>
            <w:gridSpan w:val="2"/>
            <w:tcBorders>
              <w:top w:val="nil"/>
              <w:left w:val="nil"/>
              <w:bottom w:val="nil"/>
              <w:right w:val="nil"/>
            </w:tcBorders>
            <w:shd w:val="clear" w:color="auto" w:fill="00529C"/>
            <w:vAlign w:val="center"/>
            <w:hideMark/>
          </w:tcPr>
          <w:p w14:paraId="79560A8B" w14:textId="77777777"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September 2024 entry</w:t>
            </w:r>
          </w:p>
        </w:tc>
      </w:tr>
      <w:tr w:rsidR="007146C2" w:rsidRPr="007146C2" w14:paraId="65C4A551" w14:textId="77777777" w:rsidTr="007146C2">
        <w:trPr>
          <w:trHeight w:val="315"/>
          <w:tblHeader/>
        </w:trPr>
        <w:tc>
          <w:tcPr>
            <w:tcW w:w="8655" w:type="dxa"/>
            <w:shd w:val="clear" w:color="auto" w:fill="00529C"/>
            <w:vAlign w:val="center"/>
            <w:hideMark/>
          </w:tcPr>
          <w:p w14:paraId="39360117" w14:textId="77777777" w:rsidR="007146C2" w:rsidRPr="007146C2" w:rsidRDefault="007146C2" w:rsidP="007146C2">
            <w:pPr>
              <w:spacing w:after="0" w:line="240" w:lineRule="auto"/>
              <w:jc w:val="center"/>
              <w:rPr>
                <w:rFonts w:ascii="Open Sans" w:eastAsia="Times New Roman" w:hAnsi="Open Sans" w:cs="Open Sans"/>
                <w:b/>
                <w:bCs/>
                <w:color w:val="FFFFFF"/>
                <w:kern w:val="0"/>
                <w:sz w:val="26"/>
                <w:szCs w:val="26"/>
                <w:lang w:eastAsia="en-GB"/>
                <w14:ligatures w14:val="none"/>
              </w:rPr>
            </w:pPr>
            <w:r w:rsidRPr="007146C2">
              <w:rPr>
                <w:rFonts w:ascii="Open Sans" w:eastAsia="Times New Roman" w:hAnsi="Open Sans" w:cs="Open Sans"/>
                <w:b/>
                <w:bCs/>
                <w:color w:val="FFFFFF"/>
                <w:kern w:val="0"/>
                <w:sz w:val="26"/>
                <w:szCs w:val="26"/>
                <w:lang w:eastAsia="en-GB"/>
                <w14:ligatures w14:val="none"/>
              </w:rPr>
              <w:t>Action</w:t>
            </w:r>
          </w:p>
        </w:tc>
        <w:tc>
          <w:tcPr>
            <w:tcW w:w="7365" w:type="dxa"/>
            <w:shd w:val="clear" w:color="auto" w:fill="00529C"/>
            <w:vAlign w:val="center"/>
            <w:hideMark/>
          </w:tcPr>
          <w:p w14:paraId="67D4B22F" w14:textId="77777777" w:rsidR="007146C2" w:rsidRPr="007146C2" w:rsidRDefault="007146C2" w:rsidP="007146C2">
            <w:pPr>
              <w:spacing w:after="0" w:line="240" w:lineRule="auto"/>
              <w:jc w:val="center"/>
              <w:rPr>
                <w:rFonts w:ascii="Open Sans" w:eastAsia="Times New Roman" w:hAnsi="Open Sans" w:cs="Open Sans"/>
                <w:b/>
                <w:bCs/>
                <w:color w:val="FFFFFF"/>
                <w:kern w:val="0"/>
                <w:sz w:val="26"/>
                <w:szCs w:val="26"/>
                <w:lang w:eastAsia="en-GB"/>
                <w14:ligatures w14:val="none"/>
              </w:rPr>
            </w:pPr>
            <w:r w:rsidRPr="007146C2">
              <w:rPr>
                <w:rFonts w:ascii="Open Sans" w:eastAsia="Times New Roman" w:hAnsi="Open Sans" w:cs="Open Sans"/>
                <w:b/>
                <w:bCs/>
                <w:color w:val="FFFFFF"/>
                <w:kern w:val="0"/>
                <w:sz w:val="26"/>
                <w:szCs w:val="26"/>
                <w:lang w:eastAsia="en-GB"/>
                <w14:ligatures w14:val="none"/>
              </w:rPr>
              <w:t>Deadline</w:t>
            </w:r>
          </w:p>
        </w:tc>
      </w:tr>
      <w:tr w:rsidR="007146C2" w:rsidRPr="007146C2" w14:paraId="7FAA82CB" w14:textId="77777777" w:rsidTr="007146C2">
        <w:tc>
          <w:tcPr>
            <w:tcW w:w="8655" w:type="dxa"/>
            <w:shd w:val="clear" w:color="auto" w:fill="FFFFFF"/>
            <w:vAlign w:val="center"/>
            <w:hideMark/>
          </w:tcPr>
          <w:p w14:paraId="4406F203" w14:textId="77777777"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National Offer Day</w:t>
            </w:r>
          </w:p>
        </w:tc>
        <w:tc>
          <w:tcPr>
            <w:tcW w:w="7365" w:type="dxa"/>
            <w:shd w:val="clear" w:color="auto" w:fill="FFFFFF"/>
            <w:vAlign w:val="center"/>
            <w:hideMark/>
          </w:tcPr>
          <w:p w14:paraId="597F31E8" w14:textId="77777777"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16 April 2024</w:t>
            </w:r>
          </w:p>
        </w:tc>
      </w:tr>
      <w:tr w:rsidR="007146C2" w:rsidRPr="007146C2" w14:paraId="48F74B05" w14:textId="77777777" w:rsidTr="007146C2">
        <w:trPr>
          <w:trHeight w:val="315"/>
        </w:trPr>
        <w:tc>
          <w:tcPr>
            <w:tcW w:w="8655" w:type="dxa"/>
            <w:shd w:val="clear" w:color="auto" w:fill="ECECEC"/>
            <w:vAlign w:val="center"/>
            <w:hideMark/>
          </w:tcPr>
          <w:p w14:paraId="4B68AD11" w14:textId="77777777"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Date by which an appeal must be submitted</w:t>
            </w:r>
          </w:p>
        </w:tc>
        <w:tc>
          <w:tcPr>
            <w:tcW w:w="7365" w:type="dxa"/>
            <w:shd w:val="clear" w:color="auto" w:fill="ECECEC"/>
            <w:vAlign w:val="center"/>
            <w:hideMark/>
          </w:tcPr>
          <w:p w14:paraId="09C440D1" w14:textId="77777777"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16 May 2024 (20 school days)</w:t>
            </w:r>
          </w:p>
        </w:tc>
      </w:tr>
      <w:tr w:rsidR="007146C2" w:rsidRPr="007146C2" w14:paraId="0A36737F" w14:textId="77777777" w:rsidTr="007146C2">
        <w:trPr>
          <w:trHeight w:val="1425"/>
        </w:trPr>
        <w:tc>
          <w:tcPr>
            <w:tcW w:w="8655" w:type="dxa"/>
            <w:shd w:val="clear" w:color="auto" w:fill="FFFFFF"/>
            <w:vAlign w:val="center"/>
            <w:hideMark/>
          </w:tcPr>
          <w:p w14:paraId="5205E864" w14:textId="77777777"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Dates when appeals will be heard</w:t>
            </w:r>
          </w:p>
        </w:tc>
        <w:tc>
          <w:tcPr>
            <w:tcW w:w="7365" w:type="dxa"/>
            <w:shd w:val="clear" w:color="auto" w:fill="FFFFFF"/>
            <w:vAlign w:val="center"/>
            <w:hideMark/>
          </w:tcPr>
          <w:p w14:paraId="47B11B8B" w14:textId="77777777" w:rsidR="007146C2" w:rsidRPr="007146C2" w:rsidRDefault="007146C2" w:rsidP="007146C2">
            <w:pPr>
              <w:spacing w:before="100" w:beforeAutospacing="1" w:after="100" w:afterAutospacing="1"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 </w:t>
            </w:r>
          </w:p>
          <w:p w14:paraId="707A8DD1" w14:textId="1F1FD85B"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All appeals received by 1</w:t>
            </w:r>
            <w:r w:rsidR="002A6BC5">
              <w:rPr>
                <w:rFonts w:ascii="Open Sans" w:eastAsia="Times New Roman" w:hAnsi="Open Sans" w:cs="Open Sans"/>
                <w:color w:val="111111"/>
                <w:kern w:val="0"/>
                <w:sz w:val="26"/>
                <w:szCs w:val="26"/>
                <w:lang w:eastAsia="en-GB"/>
                <w14:ligatures w14:val="none"/>
              </w:rPr>
              <w:t>6</w:t>
            </w:r>
            <w:r w:rsidRPr="007146C2">
              <w:rPr>
                <w:rFonts w:ascii="Open Sans" w:eastAsia="Times New Roman" w:hAnsi="Open Sans" w:cs="Open Sans"/>
                <w:color w:val="111111"/>
                <w:kern w:val="0"/>
                <w:sz w:val="26"/>
                <w:szCs w:val="26"/>
                <w:lang w:eastAsia="en-GB"/>
                <w14:ligatures w14:val="none"/>
              </w:rPr>
              <w:t xml:space="preserve"> May 2024 will be heard in the period between 21 June to 19 July 2024</w:t>
            </w:r>
            <w:r w:rsidRPr="007146C2">
              <w:rPr>
                <w:rFonts w:ascii="Open Sans" w:eastAsia="Times New Roman" w:hAnsi="Open Sans" w:cs="Open Sans"/>
                <w:color w:val="111111"/>
                <w:kern w:val="0"/>
                <w:sz w:val="26"/>
                <w:szCs w:val="26"/>
                <w:lang w:eastAsia="en-GB"/>
                <w14:ligatures w14:val="none"/>
              </w:rPr>
              <w:br/>
            </w:r>
          </w:p>
          <w:p w14:paraId="289F8177" w14:textId="77777777" w:rsidR="007146C2" w:rsidRPr="007146C2" w:rsidRDefault="007146C2" w:rsidP="007146C2">
            <w:pPr>
              <w:spacing w:before="100" w:beforeAutospacing="1" w:after="100" w:afterAutospacing="1"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 </w:t>
            </w:r>
          </w:p>
        </w:tc>
      </w:tr>
      <w:tr w:rsidR="007146C2" w:rsidRPr="007146C2" w14:paraId="37BB4572" w14:textId="77777777" w:rsidTr="007146C2">
        <w:trPr>
          <w:trHeight w:val="1110"/>
        </w:trPr>
        <w:tc>
          <w:tcPr>
            <w:tcW w:w="8655" w:type="dxa"/>
            <w:shd w:val="clear" w:color="auto" w:fill="ECECEC"/>
            <w:vAlign w:val="center"/>
            <w:hideMark/>
          </w:tcPr>
          <w:p w14:paraId="65F98AA1" w14:textId="77777777"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Dates when appellants will be sent notification of their appeal hearing</w:t>
            </w:r>
          </w:p>
        </w:tc>
        <w:tc>
          <w:tcPr>
            <w:tcW w:w="7365" w:type="dxa"/>
            <w:shd w:val="clear" w:color="auto" w:fill="ECECEC"/>
            <w:vAlign w:val="center"/>
            <w:hideMark/>
          </w:tcPr>
          <w:p w14:paraId="314824DF" w14:textId="77777777" w:rsidR="007146C2" w:rsidRPr="007146C2" w:rsidRDefault="007146C2" w:rsidP="007146C2">
            <w:pPr>
              <w:spacing w:before="100" w:beforeAutospacing="1" w:after="100" w:afterAutospacing="1"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10 school days in advance of the hearing</w:t>
            </w:r>
          </w:p>
        </w:tc>
      </w:tr>
      <w:tr w:rsidR="007146C2" w:rsidRPr="007146C2" w14:paraId="448DAA1B" w14:textId="77777777" w:rsidTr="007146C2">
        <w:trPr>
          <w:trHeight w:val="1110"/>
        </w:trPr>
        <w:tc>
          <w:tcPr>
            <w:tcW w:w="8655" w:type="dxa"/>
            <w:shd w:val="clear" w:color="auto" w:fill="FFFFFF"/>
            <w:vAlign w:val="center"/>
            <w:hideMark/>
          </w:tcPr>
          <w:p w14:paraId="2663F65D" w14:textId="77777777"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Date by which the Clerk sends appeal papers to the parents, the panel and the admission authority</w:t>
            </w:r>
          </w:p>
        </w:tc>
        <w:tc>
          <w:tcPr>
            <w:tcW w:w="7365" w:type="dxa"/>
            <w:shd w:val="clear" w:color="auto" w:fill="FFFFFF"/>
            <w:vAlign w:val="center"/>
            <w:hideMark/>
          </w:tcPr>
          <w:p w14:paraId="63EF205B" w14:textId="77777777" w:rsidR="007146C2" w:rsidRPr="007146C2" w:rsidRDefault="007146C2" w:rsidP="007146C2">
            <w:pPr>
              <w:spacing w:before="100" w:beforeAutospacing="1" w:after="100" w:afterAutospacing="1"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12 June to 5 July 2024</w:t>
            </w:r>
          </w:p>
          <w:p w14:paraId="67B92357" w14:textId="77777777" w:rsidR="007146C2" w:rsidRPr="007146C2" w:rsidRDefault="007146C2" w:rsidP="007146C2">
            <w:pPr>
              <w:spacing w:before="100" w:beforeAutospacing="1" w:after="100" w:afterAutospacing="1"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7 working days before the appeal hearing</w:t>
            </w:r>
          </w:p>
        </w:tc>
      </w:tr>
      <w:tr w:rsidR="007146C2" w:rsidRPr="007146C2" w14:paraId="22DDCA35" w14:textId="77777777" w:rsidTr="007146C2">
        <w:trPr>
          <w:trHeight w:val="315"/>
        </w:trPr>
        <w:tc>
          <w:tcPr>
            <w:tcW w:w="8655" w:type="dxa"/>
            <w:shd w:val="clear" w:color="auto" w:fill="ECECEC"/>
            <w:vAlign w:val="center"/>
            <w:hideMark/>
          </w:tcPr>
          <w:p w14:paraId="09C39E0F" w14:textId="77777777"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Deadline for appellants to submit additional evidence</w:t>
            </w:r>
          </w:p>
        </w:tc>
        <w:tc>
          <w:tcPr>
            <w:tcW w:w="7365" w:type="dxa"/>
            <w:shd w:val="clear" w:color="auto" w:fill="ECECEC"/>
            <w:vAlign w:val="center"/>
            <w:hideMark/>
          </w:tcPr>
          <w:p w14:paraId="30936D88" w14:textId="4DB8B56F"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 xml:space="preserve">8am, </w:t>
            </w:r>
            <w:r w:rsidR="00F33007">
              <w:rPr>
                <w:rFonts w:ascii="Open Sans" w:eastAsia="Times New Roman" w:hAnsi="Open Sans" w:cs="Open Sans"/>
                <w:color w:val="111111"/>
                <w:kern w:val="0"/>
                <w:sz w:val="26"/>
                <w:szCs w:val="26"/>
                <w:lang w:eastAsia="en-GB"/>
                <w14:ligatures w14:val="none"/>
              </w:rPr>
              <w:t>3</w:t>
            </w:r>
            <w:r w:rsidRPr="007146C2">
              <w:rPr>
                <w:rFonts w:ascii="Open Sans" w:eastAsia="Times New Roman" w:hAnsi="Open Sans" w:cs="Open Sans"/>
                <w:color w:val="111111"/>
                <w:kern w:val="0"/>
                <w:sz w:val="26"/>
                <w:szCs w:val="26"/>
                <w:lang w:eastAsia="en-GB"/>
                <w14:ligatures w14:val="none"/>
              </w:rPr>
              <w:t xml:space="preserve"> working days before the appeal hearing</w:t>
            </w:r>
          </w:p>
        </w:tc>
      </w:tr>
      <w:tr w:rsidR="007146C2" w:rsidRPr="007146C2" w14:paraId="7C4E9DA8" w14:textId="77777777" w:rsidTr="007146C2">
        <w:trPr>
          <w:trHeight w:val="315"/>
        </w:trPr>
        <w:tc>
          <w:tcPr>
            <w:tcW w:w="8655" w:type="dxa"/>
            <w:shd w:val="clear" w:color="auto" w:fill="FFFFFF"/>
            <w:vAlign w:val="center"/>
            <w:hideMark/>
          </w:tcPr>
          <w:p w14:paraId="31A317E4" w14:textId="77777777"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Decision letters sent to the appellants</w:t>
            </w:r>
          </w:p>
        </w:tc>
        <w:tc>
          <w:tcPr>
            <w:tcW w:w="7365" w:type="dxa"/>
            <w:shd w:val="clear" w:color="auto" w:fill="FFFFFF"/>
            <w:vAlign w:val="center"/>
            <w:hideMark/>
          </w:tcPr>
          <w:p w14:paraId="58D847FD" w14:textId="77777777" w:rsidR="007146C2" w:rsidRPr="007146C2" w:rsidRDefault="007146C2" w:rsidP="007146C2">
            <w:pPr>
              <w:spacing w:after="0"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color w:val="111111"/>
                <w:kern w:val="0"/>
                <w:sz w:val="26"/>
                <w:szCs w:val="26"/>
                <w:lang w:eastAsia="en-GB"/>
                <w14:ligatures w14:val="none"/>
              </w:rPr>
              <w:t>Within 5 school days after the appeal hearing (whenever possible)</w:t>
            </w:r>
          </w:p>
        </w:tc>
      </w:tr>
    </w:tbl>
    <w:p w14:paraId="6F0333AF" w14:textId="77777777" w:rsidR="007146C2" w:rsidRPr="007146C2" w:rsidRDefault="007146C2" w:rsidP="007146C2">
      <w:pPr>
        <w:shd w:val="clear" w:color="auto" w:fill="FFFFFF"/>
        <w:spacing w:before="100" w:beforeAutospacing="1" w:after="100" w:afterAutospacing="1" w:line="240" w:lineRule="auto"/>
        <w:rPr>
          <w:rFonts w:ascii="Open Sans" w:eastAsia="Times New Roman" w:hAnsi="Open Sans" w:cs="Open Sans"/>
          <w:color w:val="111111"/>
          <w:kern w:val="0"/>
          <w:sz w:val="26"/>
          <w:szCs w:val="26"/>
          <w:lang w:eastAsia="en-GB"/>
          <w14:ligatures w14:val="none"/>
        </w:rPr>
      </w:pPr>
      <w:r w:rsidRPr="007146C2">
        <w:rPr>
          <w:rFonts w:ascii="Open Sans" w:eastAsia="Times New Roman" w:hAnsi="Open Sans" w:cs="Open Sans"/>
          <w:b/>
          <w:bCs/>
          <w:color w:val="111111"/>
          <w:kern w:val="0"/>
          <w:sz w:val="26"/>
          <w:szCs w:val="26"/>
          <w:lang w:eastAsia="en-GB"/>
          <w14:ligatures w14:val="none"/>
        </w:rPr>
        <w:t>Appeals lodged after 16 May 2024 will be heard within 40 school days of the appeal deadline or 30 school days of the appeal being received, whichever is the later date.</w:t>
      </w:r>
    </w:p>
    <w:sectPr w:rsidR="007146C2" w:rsidRPr="007146C2">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01A6" w14:textId="77777777" w:rsidR="004903B9" w:rsidRDefault="004903B9" w:rsidP="007146C2">
      <w:pPr>
        <w:spacing w:after="0" w:line="240" w:lineRule="auto"/>
      </w:pPr>
      <w:r>
        <w:separator/>
      </w:r>
    </w:p>
  </w:endnote>
  <w:endnote w:type="continuationSeparator" w:id="0">
    <w:p w14:paraId="7C2844EE" w14:textId="77777777" w:rsidR="004903B9" w:rsidRDefault="004903B9" w:rsidP="0071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1661" w14:textId="77777777" w:rsidR="004903B9" w:rsidRDefault="004903B9" w:rsidP="007146C2">
      <w:pPr>
        <w:spacing w:after="0" w:line="240" w:lineRule="auto"/>
      </w:pPr>
      <w:r>
        <w:separator/>
      </w:r>
    </w:p>
  </w:footnote>
  <w:footnote w:type="continuationSeparator" w:id="0">
    <w:p w14:paraId="4507DE2E" w14:textId="77777777" w:rsidR="004903B9" w:rsidRDefault="004903B9" w:rsidP="00714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CF96" w14:textId="4BDF26D8" w:rsidR="007146C2" w:rsidRDefault="007146C2">
    <w:pPr>
      <w:pStyle w:val="Header"/>
    </w:pPr>
    <w:r>
      <w:rPr>
        <w:noProof/>
      </w:rPr>
      <mc:AlternateContent>
        <mc:Choice Requires="wps">
          <w:drawing>
            <wp:anchor distT="0" distB="0" distL="0" distR="0" simplePos="0" relativeHeight="251659264" behindDoc="0" locked="0" layoutInCell="1" allowOverlap="1" wp14:anchorId="4AE2184A" wp14:editId="17632F96">
              <wp:simplePos x="635" y="635"/>
              <wp:positionH relativeFrom="page">
                <wp:align>left</wp:align>
              </wp:positionH>
              <wp:positionV relativeFrom="page">
                <wp:align>top</wp:align>
              </wp:positionV>
              <wp:extent cx="443865" cy="443865"/>
              <wp:effectExtent l="0" t="0" r="14605" b="4445"/>
              <wp:wrapNone/>
              <wp:docPr id="15206028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2D43CE" w14:textId="438F26C1" w:rsidR="007146C2" w:rsidRPr="007146C2" w:rsidRDefault="007146C2" w:rsidP="007146C2">
                          <w:pPr>
                            <w:spacing w:after="0"/>
                            <w:rPr>
                              <w:rFonts w:ascii="Calibri" w:eastAsia="Calibri" w:hAnsi="Calibri" w:cs="Calibri"/>
                              <w:noProof/>
                              <w:color w:val="000000"/>
                              <w:sz w:val="20"/>
                              <w:szCs w:val="20"/>
                            </w:rPr>
                          </w:pPr>
                          <w:r w:rsidRPr="007146C2">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E2184A"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02D43CE" w14:textId="438F26C1" w:rsidR="007146C2" w:rsidRPr="007146C2" w:rsidRDefault="007146C2" w:rsidP="007146C2">
                    <w:pPr>
                      <w:spacing w:after="0"/>
                      <w:rPr>
                        <w:rFonts w:ascii="Calibri" w:eastAsia="Calibri" w:hAnsi="Calibri" w:cs="Calibri"/>
                        <w:noProof/>
                        <w:color w:val="000000"/>
                        <w:sz w:val="20"/>
                        <w:szCs w:val="20"/>
                      </w:rPr>
                    </w:pPr>
                    <w:r w:rsidRPr="007146C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0C82" w14:textId="59736228" w:rsidR="007146C2" w:rsidRDefault="007146C2">
    <w:pPr>
      <w:pStyle w:val="Header"/>
    </w:pPr>
    <w:r>
      <w:rPr>
        <w:noProof/>
      </w:rPr>
      <mc:AlternateContent>
        <mc:Choice Requires="wps">
          <w:drawing>
            <wp:anchor distT="0" distB="0" distL="0" distR="0" simplePos="0" relativeHeight="251660288" behindDoc="0" locked="0" layoutInCell="1" allowOverlap="1" wp14:anchorId="3A898DF2" wp14:editId="0517A345">
              <wp:simplePos x="914400" y="448408"/>
              <wp:positionH relativeFrom="page">
                <wp:align>left</wp:align>
              </wp:positionH>
              <wp:positionV relativeFrom="page">
                <wp:align>top</wp:align>
              </wp:positionV>
              <wp:extent cx="443865" cy="443865"/>
              <wp:effectExtent l="0" t="0" r="14605" b="4445"/>
              <wp:wrapNone/>
              <wp:docPr id="1255493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36FA13" w14:textId="22247F0D" w:rsidR="007146C2" w:rsidRPr="007146C2" w:rsidRDefault="007146C2" w:rsidP="007146C2">
                          <w:pPr>
                            <w:spacing w:after="0"/>
                            <w:rPr>
                              <w:rFonts w:ascii="Calibri" w:eastAsia="Calibri" w:hAnsi="Calibri" w:cs="Calibri"/>
                              <w:noProof/>
                              <w:color w:val="000000"/>
                              <w:sz w:val="20"/>
                              <w:szCs w:val="20"/>
                            </w:rPr>
                          </w:pPr>
                          <w:r w:rsidRPr="007146C2">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898DF2"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236FA13" w14:textId="22247F0D" w:rsidR="007146C2" w:rsidRPr="007146C2" w:rsidRDefault="007146C2" w:rsidP="007146C2">
                    <w:pPr>
                      <w:spacing w:after="0"/>
                      <w:rPr>
                        <w:rFonts w:ascii="Calibri" w:eastAsia="Calibri" w:hAnsi="Calibri" w:cs="Calibri"/>
                        <w:noProof/>
                        <w:color w:val="000000"/>
                        <w:sz w:val="20"/>
                        <w:szCs w:val="20"/>
                      </w:rPr>
                    </w:pPr>
                    <w:r w:rsidRPr="007146C2">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3EA4" w14:textId="2F8886B6" w:rsidR="007146C2" w:rsidRDefault="007146C2">
    <w:pPr>
      <w:pStyle w:val="Header"/>
    </w:pPr>
    <w:r>
      <w:rPr>
        <w:noProof/>
      </w:rPr>
      <mc:AlternateContent>
        <mc:Choice Requires="wps">
          <w:drawing>
            <wp:anchor distT="0" distB="0" distL="0" distR="0" simplePos="0" relativeHeight="251658240" behindDoc="0" locked="0" layoutInCell="1" allowOverlap="1" wp14:anchorId="23A4B18F" wp14:editId="1DBEABA8">
              <wp:simplePos x="635" y="635"/>
              <wp:positionH relativeFrom="page">
                <wp:align>left</wp:align>
              </wp:positionH>
              <wp:positionV relativeFrom="page">
                <wp:align>top</wp:align>
              </wp:positionV>
              <wp:extent cx="443865" cy="443865"/>
              <wp:effectExtent l="0" t="0" r="14605" b="4445"/>
              <wp:wrapNone/>
              <wp:docPr id="15290019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40EC8A" w14:textId="69BF3C41" w:rsidR="007146C2" w:rsidRPr="007146C2" w:rsidRDefault="007146C2" w:rsidP="007146C2">
                          <w:pPr>
                            <w:spacing w:after="0"/>
                            <w:rPr>
                              <w:rFonts w:ascii="Calibri" w:eastAsia="Calibri" w:hAnsi="Calibri" w:cs="Calibri"/>
                              <w:noProof/>
                              <w:color w:val="000000"/>
                              <w:sz w:val="20"/>
                              <w:szCs w:val="20"/>
                            </w:rPr>
                          </w:pPr>
                          <w:r w:rsidRPr="007146C2">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A4B18F"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440EC8A" w14:textId="69BF3C41" w:rsidR="007146C2" w:rsidRPr="007146C2" w:rsidRDefault="007146C2" w:rsidP="007146C2">
                    <w:pPr>
                      <w:spacing w:after="0"/>
                      <w:rPr>
                        <w:rFonts w:ascii="Calibri" w:eastAsia="Calibri" w:hAnsi="Calibri" w:cs="Calibri"/>
                        <w:noProof/>
                        <w:color w:val="000000"/>
                        <w:sz w:val="20"/>
                        <w:szCs w:val="20"/>
                      </w:rPr>
                    </w:pPr>
                    <w:r w:rsidRPr="007146C2">
                      <w:rPr>
                        <w:rFonts w:ascii="Calibri" w:eastAsia="Calibri" w:hAnsi="Calibri" w:cs="Calibri"/>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C2"/>
    <w:rsid w:val="002A6BC5"/>
    <w:rsid w:val="004260E1"/>
    <w:rsid w:val="004903B9"/>
    <w:rsid w:val="006C0508"/>
    <w:rsid w:val="007146C2"/>
    <w:rsid w:val="00F33007"/>
    <w:rsid w:val="00F87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6E65"/>
  <w15:chartTrackingRefBased/>
  <w15:docId w15:val="{555813D1-8D7D-4289-B78D-4EF4644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146C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46C2"/>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7146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146C2"/>
    <w:rPr>
      <w:b/>
      <w:bCs/>
    </w:rPr>
  </w:style>
  <w:style w:type="paragraph" w:styleId="Header">
    <w:name w:val="header"/>
    <w:basedOn w:val="Normal"/>
    <w:link w:val="HeaderChar"/>
    <w:uiPriority w:val="99"/>
    <w:unhideWhenUsed/>
    <w:rsid w:val="00714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1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998</Characters>
  <Application>Microsoft Office Word</Application>
  <DocSecurity>0</DocSecurity>
  <Lines>8</Lines>
  <Paragraphs>2</Paragraphs>
  <ScaleCrop>false</ScaleCrop>
  <Company>Richmond and Wandsworth Councils</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Wright</dc:creator>
  <cp:keywords/>
  <dc:description/>
  <cp:lastModifiedBy>Chris Kelly</cp:lastModifiedBy>
  <cp:revision>5</cp:revision>
  <dcterms:created xsi:type="dcterms:W3CDTF">2024-01-26T08:50:00Z</dcterms:created>
  <dcterms:modified xsi:type="dcterms:W3CDTF">2024-01-26T09:01:00Z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5b22b7d0,5aa28efe,4ad54e6d</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